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2290" w:rsidRDefault="0007472B" w:rsidP="00BA2290">
      <w:pPr>
        <w:spacing w:before="100" w:beforeAutospacing="1" w:after="100" w:afterAutospacing="1" w:line="240" w:lineRule="auto"/>
        <w:rPr>
          <w:rFonts w:ascii="Times New Roman" w:eastAsia="Times New Roman" w:hAnsi="Times New Roman" w:cs="Times New Roman"/>
          <w:sz w:val="24"/>
          <w:szCs w:val="24"/>
          <w:lang w:eastAsia="it-IT"/>
        </w:rPr>
      </w:pPr>
      <w:r w:rsidRPr="0007472B">
        <w:rPr>
          <w:rFonts w:ascii="Times New Roman" w:eastAsia="Times New Roman" w:hAnsi="Times New Roman" w:cs="Times New Roman"/>
          <w:sz w:val="24"/>
          <w:szCs w:val="24"/>
          <w:lang w:eastAsia="it-IT"/>
        </w:rPr>
        <w:drawing>
          <wp:inline distT="0" distB="0" distL="0" distR="0" wp14:anchorId="6546BD93" wp14:editId="284566C9">
            <wp:extent cx="6120130" cy="186880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1868805"/>
                    </a:xfrm>
                    <a:prstGeom prst="rect">
                      <a:avLst/>
                    </a:prstGeom>
                  </pic:spPr>
                </pic:pic>
              </a:graphicData>
            </a:graphic>
          </wp:inline>
        </w:drawing>
      </w:r>
    </w:p>
    <w:p w:rsidR="00BA2290" w:rsidRPr="0007472B" w:rsidRDefault="00BA2290" w:rsidP="0007472B">
      <w:pPr>
        <w:spacing w:before="100" w:beforeAutospacing="1" w:after="100" w:afterAutospacing="1" w:line="240" w:lineRule="auto"/>
        <w:jc w:val="center"/>
        <w:outlineLvl w:val="2"/>
        <w:rPr>
          <w:rFonts w:eastAsia="Times New Roman" w:cstheme="minorHAnsi"/>
          <w:b/>
          <w:bCs/>
          <w:sz w:val="28"/>
          <w:szCs w:val="28"/>
          <w:u w:val="single"/>
          <w:lang w:eastAsia="it-IT"/>
        </w:rPr>
      </w:pPr>
      <w:r w:rsidRPr="0007472B">
        <w:rPr>
          <w:rFonts w:eastAsia="Times New Roman" w:cstheme="minorHAnsi"/>
          <w:b/>
          <w:bCs/>
          <w:sz w:val="28"/>
          <w:szCs w:val="28"/>
          <w:u w:val="single"/>
          <w:lang w:eastAsia="it-IT"/>
        </w:rPr>
        <w:t>Sintesi dell'articolo</w:t>
      </w:r>
    </w:p>
    <w:p w:rsidR="00BA2290" w:rsidRPr="00BA2290" w:rsidRDefault="00BA2290" w:rsidP="00BA2290">
      <w:pPr>
        <w:spacing w:before="100" w:beforeAutospacing="1" w:after="100" w:afterAutospacing="1" w:line="240" w:lineRule="auto"/>
        <w:jc w:val="both"/>
        <w:outlineLvl w:val="3"/>
        <w:rPr>
          <w:rFonts w:eastAsia="Times New Roman" w:cstheme="minorHAnsi"/>
          <w:b/>
          <w:bCs/>
          <w:sz w:val="24"/>
          <w:szCs w:val="24"/>
          <w:lang w:eastAsia="it-IT"/>
        </w:rPr>
      </w:pPr>
      <w:r w:rsidRPr="00BA2290">
        <w:rPr>
          <w:rFonts w:eastAsia="Times New Roman" w:cstheme="minorHAnsi"/>
          <w:b/>
          <w:bCs/>
          <w:sz w:val="24"/>
          <w:szCs w:val="24"/>
          <w:lang w:eastAsia="it-IT"/>
        </w:rPr>
        <w:t>1. Obiettivo e Metodologia</w:t>
      </w:r>
    </w:p>
    <w:p w:rsidR="00BA2290" w:rsidRPr="00BA2290" w:rsidRDefault="00BA2290" w:rsidP="00BA2290">
      <w:p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sz w:val="24"/>
          <w:szCs w:val="24"/>
          <w:lang w:eastAsia="it-IT"/>
        </w:rPr>
        <w:t xml:space="preserve">Lo studio ha analizzato la complessa interazione tra fattori genetici ed ambientali nella patogenesi dei tumori della pelle (carcinoma </w:t>
      </w:r>
      <w:proofErr w:type="spellStart"/>
      <w:r w:rsidRPr="00BA2290">
        <w:rPr>
          <w:rFonts w:eastAsia="Times New Roman" w:cstheme="minorHAnsi"/>
          <w:sz w:val="24"/>
          <w:szCs w:val="24"/>
          <w:lang w:eastAsia="it-IT"/>
        </w:rPr>
        <w:t>basocellulare</w:t>
      </w:r>
      <w:proofErr w:type="spellEnd"/>
      <w:r w:rsidRPr="00BA2290">
        <w:rPr>
          <w:rFonts w:eastAsia="Times New Roman" w:cstheme="minorHAnsi"/>
          <w:sz w:val="24"/>
          <w:szCs w:val="24"/>
          <w:lang w:eastAsia="it-IT"/>
        </w:rPr>
        <w:t xml:space="preserve"> [BCC], carcinoma </w:t>
      </w:r>
      <w:proofErr w:type="spellStart"/>
      <w:r w:rsidRPr="00BA2290">
        <w:rPr>
          <w:rFonts w:eastAsia="Times New Roman" w:cstheme="minorHAnsi"/>
          <w:sz w:val="24"/>
          <w:szCs w:val="24"/>
          <w:lang w:eastAsia="it-IT"/>
        </w:rPr>
        <w:t>squamocellulare</w:t>
      </w:r>
      <w:proofErr w:type="spellEnd"/>
      <w:r w:rsidRPr="00BA2290">
        <w:rPr>
          <w:rFonts w:eastAsia="Times New Roman" w:cstheme="minorHAnsi"/>
          <w:sz w:val="24"/>
          <w:szCs w:val="24"/>
          <w:lang w:eastAsia="it-IT"/>
        </w:rPr>
        <w:t xml:space="preserve"> cutaneo [</w:t>
      </w:r>
      <w:proofErr w:type="spellStart"/>
      <w:r w:rsidRPr="00BA2290">
        <w:rPr>
          <w:rFonts w:eastAsia="Times New Roman" w:cstheme="minorHAnsi"/>
          <w:sz w:val="24"/>
          <w:szCs w:val="24"/>
          <w:lang w:eastAsia="it-IT"/>
        </w:rPr>
        <w:t>cSCC</w:t>
      </w:r>
      <w:proofErr w:type="spellEnd"/>
      <w:r w:rsidRPr="00BA2290">
        <w:rPr>
          <w:rFonts w:eastAsia="Times New Roman" w:cstheme="minorHAnsi"/>
          <w:sz w:val="24"/>
          <w:szCs w:val="24"/>
          <w:lang w:eastAsia="it-IT"/>
        </w:rPr>
        <w:t xml:space="preserve">], melanoma </w:t>
      </w:r>
      <w:r w:rsidRPr="00BA2290">
        <w:rPr>
          <w:rFonts w:eastAsia="Times New Roman" w:cstheme="minorHAnsi"/>
          <w:i/>
          <w:iCs/>
          <w:sz w:val="24"/>
          <w:szCs w:val="24"/>
          <w:lang w:eastAsia="it-IT"/>
        </w:rPr>
        <w:t>in-situ</w:t>
      </w:r>
      <w:r w:rsidRPr="00BA2290">
        <w:rPr>
          <w:rFonts w:eastAsia="Times New Roman" w:cstheme="minorHAnsi"/>
          <w:sz w:val="24"/>
          <w:szCs w:val="24"/>
          <w:lang w:eastAsia="it-IT"/>
        </w:rPr>
        <w:t xml:space="preserve"> [M-</w:t>
      </w:r>
      <w:proofErr w:type="spellStart"/>
      <w:r w:rsidRPr="00BA2290">
        <w:rPr>
          <w:rFonts w:eastAsia="Times New Roman" w:cstheme="minorHAnsi"/>
          <w:sz w:val="24"/>
          <w:szCs w:val="24"/>
          <w:lang w:eastAsia="it-IT"/>
        </w:rPr>
        <w:t>is</w:t>
      </w:r>
      <w:proofErr w:type="spellEnd"/>
      <w:r w:rsidRPr="00BA2290">
        <w:rPr>
          <w:rFonts w:eastAsia="Times New Roman" w:cstheme="minorHAnsi"/>
          <w:sz w:val="24"/>
          <w:szCs w:val="24"/>
          <w:lang w:eastAsia="it-IT"/>
        </w:rPr>
        <w:t>] e melanoma invasivo [M-</w:t>
      </w:r>
      <w:proofErr w:type="spellStart"/>
      <w:r w:rsidRPr="00BA2290">
        <w:rPr>
          <w:rFonts w:eastAsia="Times New Roman" w:cstheme="minorHAnsi"/>
          <w:sz w:val="24"/>
          <w:szCs w:val="24"/>
          <w:lang w:eastAsia="it-IT"/>
        </w:rPr>
        <w:t>inv</w:t>
      </w:r>
      <w:proofErr w:type="spellEnd"/>
      <w:r w:rsidRPr="00BA2290">
        <w:rPr>
          <w:rFonts w:eastAsia="Times New Roman" w:cstheme="minorHAnsi"/>
          <w:sz w:val="24"/>
          <w:szCs w:val="24"/>
          <w:lang w:eastAsia="it-IT"/>
        </w:rPr>
        <w:t>]). Utilizzando l</w:t>
      </w:r>
      <w:bookmarkStart w:id="0" w:name="_GoBack"/>
      <w:bookmarkEnd w:id="0"/>
      <w:r w:rsidRPr="00BA2290">
        <w:rPr>
          <w:rFonts w:eastAsia="Times New Roman" w:cstheme="minorHAnsi"/>
          <w:sz w:val="24"/>
          <w:szCs w:val="24"/>
          <w:lang w:eastAsia="it-IT"/>
        </w:rPr>
        <w:t xml:space="preserve">a coorte del </w:t>
      </w:r>
      <w:r w:rsidRPr="00BA2290">
        <w:rPr>
          <w:rFonts w:eastAsia="Times New Roman" w:cstheme="minorHAnsi"/>
          <w:b/>
          <w:bCs/>
          <w:sz w:val="24"/>
          <w:szCs w:val="24"/>
          <w:lang w:eastAsia="it-IT"/>
        </w:rPr>
        <w:t xml:space="preserve">UK </w:t>
      </w:r>
      <w:proofErr w:type="spellStart"/>
      <w:r w:rsidRPr="00BA2290">
        <w:rPr>
          <w:rFonts w:eastAsia="Times New Roman" w:cstheme="minorHAnsi"/>
          <w:b/>
          <w:bCs/>
          <w:sz w:val="24"/>
          <w:szCs w:val="24"/>
          <w:lang w:eastAsia="it-IT"/>
        </w:rPr>
        <w:t>Biobank</w:t>
      </w:r>
      <w:proofErr w:type="spellEnd"/>
      <w:r w:rsidRPr="00BA2290">
        <w:rPr>
          <w:rFonts w:eastAsia="Times New Roman" w:cstheme="minorHAnsi"/>
          <w:sz w:val="24"/>
          <w:szCs w:val="24"/>
          <w:lang w:eastAsia="it-IT"/>
        </w:rPr>
        <w:t xml:space="preserve">, i ricercatori hanno valutato </w:t>
      </w:r>
      <w:r w:rsidRPr="00BA2290">
        <w:rPr>
          <w:rFonts w:eastAsia="Times New Roman" w:cstheme="minorHAnsi"/>
          <w:b/>
          <w:bCs/>
          <w:sz w:val="24"/>
          <w:szCs w:val="24"/>
          <w:lang w:eastAsia="it-IT"/>
        </w:rPr>
        <w:t>8.798 polimorfismi a singolo nucleotide (SNP)</w:t>
      </w:r>
      <w:r w:rsidRPr="00BA2290">
        <w:rPr>
          <w:rFonts w:eastAsia="Times New Roman" w:cstheme="minorHAnsi"/>
          <w:sz w:val="24"/>
          <w:szCs w:val="24"/>
          <w:lang w:eastAsia="it-IT"/>
        </w:rPr>
        <w:t xml:space="preserve"> associati a </w:t>
      </w:r>
      <w:r w:rsidRPr="00BA2290">
        <w:rPr>
          <w:rFonts w:eastAsia="Times New Roman" w:cstheme="minorHAnsi"/>
          <w:b/>
          <w:bCs/>
          <w:sz w:val="24"/>
          <w:szCs w:val="24"/>
          <w:lang w:eastAsia="it-IT"/>
        </w:rPr>
        <w:t>190 geni di riparazione del DNA</w:t>
      </w:r>
      <w:r w:rsidRPr="00BA2290">
        <w:rPr>
          <w:rFonts w:eastAsia="Times New Roman" w:cstheme="minorHAnsi"/>
          <w:sz w:val="24"/>
          <w:szCs w:val="24"/>
          <w:lang w:eastAsia="it-IT"/>
        </w:rPr>
        <w:t xml:space="preserve">, unitamente a </w:t>
      </w:r>
      <w:r w:rsidRPr="00BA2290">
        <w:rPr>
          <w:rFonts w:eastAsia="Times New Roman" w:cstheme="minorHAnsi"/>
          <w:b/>
          <w:bCs/>
          <w:sz w:val="24"/>
          <w:szCs w:val="24"/>
          <w:lang w:eastAsia="it-IT"/>
        </w:rPr>
        <w:t>11 fattori demografici e comportamentali</w:t>
      </w:r>
      <w:r w:rsidRPr="00BA2290">
        <w:rPr>
          <w:rFonts w:eastAsia="Times New Roman" w:cstheme="minorHAnsi"/>
          <w:sz w:val="24"/>
          <w:szCs w:val="24"/>
          <w:lang w:eastAsia="it-IT"/>
        </w:rPr>
        <w:t xml:space="preserve"> di rischio in centinaia di migliaia di individui (pazienti e controlli sani). </w:t>
      </w:r>
    </w:p>
    <w:p w:rsidR="00BA2290" w:rsidRPr="00BA2290" w:rsidRDefault="00BA2290" w:rsidP="00BA2290">
      <w:pPr>
        <w:spacing w:before="100" w:beforeAutospacing="1" w:after="100" w:afterAutospacing="1" w:line="240" w:lineRule="auto"/>
        <w:jc w:val="both"/>
        <w:outlineLvl w:val="3"/>
        <w:rPr>
          <w:rFonts w:eastAsia="Times New Roman" w:cstheme="minorHAnsi"/>
          <w:b/>
          <w:bCs/>
          <w:sz w:val="24"/>
          <w:szCs w:val="24"/>
          <w:lang w:eastAsia="it-IT"/>
        </w:rPr>
      </w:pPr>
      <w:r w:rsidRPr="00BA2290">
        <w:rPr>
          <w:rFonts w:eastAsia="Times New Roman" w:cstheme="minorHAnsi"/>
          <w:b/>
          <w:bCs/>
          <w:sz w:val="24"/>
          <w:szCs w:val="24"/>
          <w:lang w:eastAsia="it-IT"/>
        </w:rPr>
        <w:t>2. Principali Risultati</w:t>
      </w:r>
    </w:p>
    <w:p w:rsidR="00BA2290" w:rsidRPr="00BA2290" w:rsidRDefault="00BA2290" w:rsidP="00BA2290">
      <w:pPr>
        <w:numPr>
          <w:ilvl w:val="0"/>
          <w:numId w:val="1"/>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b/>
          <w:bCs/>
          <w:sz w:val="24"/>
          <w:szCs w:val="24"/>
          <w:lang w:eastAsia="it-IT"/>
        </w:rPr>
        <w:t>Fattori Clinici e Comportamentali:</w:t>
      </w:r>
    </w:p>
    <w:p w:rsidR="00BA2290" w:rsidRPr="00BA2290" w:rsidRDefault="00BA2290" w:rsidP="00BA2290">
      <w:pPr>
        <w:numPr>
          <w:ilvl w:val="1"/>
          <w:numId w:val="1"/>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sz w:val="24"/>
          <w:szCs w:val="24"/>
          <w:lang w:eastAsia="it-IT"/>
        </w:rPr>
        <w:t xml:space="preserve">La pelle e i capelli di colore più scuro, insieme alla facilità di abbronzatura, sono risultati essere </w:t>
      </w:r>
      <w:r w:rsidRPr="00BA2290">
        <w:rPr>
          <w:rFonts w:eastAsia="Times New Roman" w:cstheme="minorHAnsi"/>
          <w:b/>
          <w:bCs/>
          <w:sz w:val="24"/>
          <w:szCs w:val="24"/>
          <w:lang w:eastAsia="it-IT"/>
        </w:rPr>
        <w:t>fattori protettivi</w:t>
      </w:r>
      <w:r w:rsidRPr="00BA2290">
        <w:rPr>
          <w:rFonts w:eastAsia="Times New Roman" w:cstheme="minorHAnsi"/>
          <w:sz w:val="24"/>
          <w:szCs w:val="24"/>
          <w:lang w:eastAsia="it-IT"/>
        </w:rPr>
        <w:t xml:space="preserve"> riducendo il rischio di sviluppare i vari tipi di </w:t>
      </w:r>
      <w:proofErr w:type="spellStart"/>
      <w:r w:rsidRPr="00BA2290">
        <w:rPr>
          <w:rFonts w:eastAsia="Times New Roman" w:cstheme="minorHAnsi"/>
          <w:sz w:val="24"/>
          <w:szCs w:val="24"/>
          <w:lang w:eastAsia="it-IT"/>
        </w:rPr>
        <w:t>tumore</w:t>
      </w:r>
      <w:proofErr w:type="spellEnd"/>
      <w:r w:rsidRPr="00BA2290">
        <w:rPr>
          <w:rFonts w:eastAsia="Times New Roman" w:cstheme="minorHAnsi"/>
          <w:sz w:val="24"/>
          <w:szCs w:val="24"/>
          <w:lang w:eastAsia="it-IT"/>
        </w:rPr>
        <w:t xml:space="preserve"> della pelle. </w:t>
      </w:r>
    </w:p>
    <w:p w:rsidR="00BA2290" w:rsidRPr="00BA2290" w:rsidRDefault="00BA2290" w:rsidP="00BA2290">
      <w:pPr>
        <w:numPr>
          <w:ilvl w:val="1"/>
          <w:numId w:val="1"/>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sz w:val="24"/>
          <w:szCs w:val="24"/>
          <w:lang w:eastAsia="it-IT"/>
        </w:rPr>
        <w:t xml:space="preserve">Il sesso maschile è risultato correlato positivamente a un maggior rischio di BCC e </w:t>
      </w:r>
      <w:proofErr w:type="spellStart"/>
      <w:r w:rsidRPr="00BA2290">
        <w:rPr>
          <w:rFonts w:eastAsia="Times New Roman" w:cstheme="minorHAnsi"/>
          <w:sz w:val="24"/>
          <w:szCs w:val="24"/>
          <w:lang w:eastAsia="it-IT"/>
        </w:rPr>
        <w:t>cSCC</w:t>
      </w:r>
      <w:proofErr w:type="spellEnd"/>
      <w:r w:rsidRPr="00BA2290">
        <w:rPr>
          <w:rFonts w:eastAsia="Times New Roman" w:cstheme="minorHAnsi"/>
          <w:sz w:val="24"/>
          <w:szCs w:val="24"/>
          <w:lang w:eastAsia="it-IT"/>
        </w:rPr>
        <w:t xml:space="preserve">. </w:t>
      </w:r>
    </w:p>
    <w:p w:rsidR="00BA2290" w:rsidRPr="00BA2290" w:rsidRDefault="00BA2290" w:rsidP="00BA2290">
      <w:pPr>
        <w:numPr>
          <w:ilvl w:val="1"/>
          <w:numId w:val="1"/>
        </w:numPr>
        <w:spacing w:before="100" w:beforeAutospacing="1" w:after="100" w:afterAutospacing="1" w:line="240" w:lineRule="auto"/>
        <w:jc w:val="both"/>
        <w:rPr>
          <w:rFonts w:eastAsia="Times New Roman" w:cstheme="minorHAnsi"/>
          <w:sz w:val="24"/>
          <w:szCs w:val="24"/>
          <w:highlight w:val="yellow"/>
          <w:lang w:eastAsia="it-IT"/>
        </w:rPr>
      </w:pPr>
      <w:r w:rsidRPr="00BA2290">
        <w:rPr>
          <w:rFonts w:eastAsia="Times New Roman" w:cstheme="minorHAnsi"/>
          <w:b/>
          <w:bCs/>
          <w:sz w:val="24"/>
          <w:szCs w:val="24"/>
          <w:highlight w:val="yellow"/>
          <w:lang w:eastAsia="it-IT"/>
        </w:rPr>
        <w:t>Apparente paradosso sull'uso della protezione solare:</w:t>
      </w:r>
      <w:r w:rsidRPr="00BA2290">
        <w:rPr>
          <w:rFonts w:eastAsia="Times New Roman" w:cstheme="minorHAnsi"/>
          <w:sz w:val="24"/>
          <w:szCs w:val="24"/>
          <w:highlight w:val="yellow"/>
          <w:lang w:eastAsia="it-IT"/>
        </w:rPr>
        <w:t xml:space="preserve"> L'uso frequente o occasionale della crema solare è risultato positivamente correlato al rischio di tutti i tipi di tumore cutaneo analizzati. Gli autori ipotizzano che questo fenomeno si spieghi con una maggiore esposizione complessiva ai raggi UV da parte di chi usa la crema solare, con una mancata </w:t>
      </w:r>
      <w:proofErr w:type="spellStart"/>
      <w:r w:rsidRPr="00BA2290">
        <w:rPr>
          <w:rFonts w:eastAsia="Times New Roman" w:cstheme="minorHAnsi"/>
          <w:sz w:val="24"/>
          <w:szCs w:val="24"/>
          <w:highlight w:val="yellow"/>
          <w:lang w:eastAsia="it-IT"/>
        </w:rPr>
        <w:t>riapplicazione</w:t>
      </w:r>
      <w:proofErr w:type="spellEnd"/>
      <w:r w:rsidRPr="00BA2290">
        <w:rPr>
          <w:rFonts w:eastAsia="Times New Roman" w:cstheme="minorHAnsi"/>
          <w:sz w:val="24"/>
          <w:szCs w:val="24"/>
          <w:highlight w:val="yellow"/>
          <w:lang w:eastAsia="it-IT"/>
        </w:rPr>
        <w:t xml:space="preserve"> della stessa durante la giornata, o con il fatto che i pazienti inizino a proteggersi di più solo </w:t>
      </w:r>
      <w:r w:rsidRPr="00BA2290">
        <w:rPr>
          <w:rFonts w:eastAsia="Times New Roman" w:cstheme="minorHAnsi"/>
          <w:i/>
          <w:iCs/>
          <w:sz w:val="24"/>
          <w:szCs w:val="24"/>
          <w:highlight w:val="yellow"/>
          <w:lang w:eastAsia="it-IT"/>
        </w:rPr>
        <w:t>dopo</w:t>
      </w:r>
      <w:r w:rsidRPr="00BA2290">
        <w:rPr>
          <w:rFonts w:eastAsia="Times New Roman" w:cstheme="minorHAnsi"/>
          <w:sz w:val="24"/>
          <w:szCs w:val="24"/>
          <w:highlight w:val="yellow"/>
          <w:lang w:eastAsia="it-IT"/>
        </w:rPr>
        <w:t xml:space="preserve"> aver ricevuto la diagnosi. </w:t>
      </w:r>
    </w:p>
    <w:p w:rsidR="00BA2290" w:rsidRPr="00BA2290" w:rsidRDefault="00BA2290" w:rsidP="00BA2290">
      <w:pPr>
        <w:numPr>
          <w:ilvl w:val="0"/>
          <w:numId w:val="1"/>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b/>
          <w:bCs/>
          <w:sz w:val="24"/>
          <w:szCs w:val="24"/>
          <w:lang w:eastAsia="it-IT"/>
        </w:rPr>
        <w:t>Fattori Genetici e Interazioni Gene-Ambiente:</w:t>
      </w:r>
    </w:p>
    <w:p w:rsidR="00BA2290" w:rsidRPr="00BA2290" w:rsidRDefault="00BA2290" w:rsidP="00BA2290">
      <w:pPr>
        <w:numPr>
          <w:ilvl w:val="1"/>
          <w:numId w:val="1"/>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sz w:val="24"/>
          <w:szCs w:val="24"/>
          <w:lang w:eastAsia="it-IT"/>
        </w:rPr>
        <w:t xml:space="preserve">L'analisi combinata (gene-ambiente) ha identificato </w:t>
      </w:r>
      <w:r w:rsidRPr="00BA2290">
        <w:rPr>
          <w:rFonts w:eastAsia="Times New Roman" w:cstheme="minorHAnsi"/>
          <w:b/>
          <w:bCs/>
          <w:sz w:val="24"/>
          <w:szCs w:val="24"/>
          <w:lang w:eastAsia="it-IT"/>
        </w:rPr>
        <w:t>201 interazioni significative SNP-ambiente</w:t>
      </w:r>
      <w:r w:rsidRPr="00BA2290">
        <w:rPr>
          <w:rFonts w:eastAsia="Times New Roman" w:cstheme="minorHAnsi"/>
          <w:sz w:val="24"/>
          <w:szCs w:val="24"/>
          <w:lang w:eastAsia="it-IT"/>
        </w:rPr>
        <w:t xml:space="preserve"> distribuite su 90 geni. </w:t>
      </w:r>
    </w:p>
    <w:p w:rsidR="00BA2290" w:rsidRPr="00BA2290" w:rsidRDefault="00BA2290" w:rsidP="00BA2290">
      <w:pPr>
        <w:numPr>
          <w:ilvl w:val="1"/>
          <w:numId w:val="1"/>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sz w:val="24"/>
          <w:szCs w:val="24"/>
          <w:lang w:eastAsia="it-IT"/>
        </w:rPr>
        <w:t xml:space="preserve">In particolare, le varianti del gene </w:t>
      </w:r>
      <w:r w:rsidRPr="00BA2290">
        <w:rPr>
          <w:rFonts w:eastAsia="Times New Roman" w:cstheme="minorHAnsi"/>
          <w:b/>
          <w:bCs/>
          <w:sz w:val="24"/>
          <w:szCs w:val="24"/>
          <w:lang w:eastAsia="it-IT"/>
        </w:rPr>
        <w:t>FANCA</w:t>
      </w:r>
      <w:r w:rsidRPr="00BA2290">
        <w:rPr>
          <w:rFonts w:eastAsia="Times New Roman" w:cstheme="minorHAnsi"/>
          <w:sz w:val="24"/>
          <w:szCs w:val="24"/>
          <w:lang w:eastAsia="it-IT"/>
        </w:rPr>
        <w:t xml:space="preserve"> (tra cui tre alleli specifici: </w:t>
      </w:r>
      <w:r w:rsidRPr="00BA2290">
        <w:rPr>
          <w:rFonts w:eastAsia="Times New Roman" w:cstheme="minorHAnsi"/>
          <w:i/>
          <w:iCs/>
          <w:sz w:val="24"/>
          <w:szCs w:val="24"/>
          <w:lang w:eastAsia="it-IT"/>
        </w:rPr>
        <w:t>rs9926296</w:t>
      </w:r>
      <w:r w:rsidRPr="00BA2290">
        <w:rPr>
          <w:rFonts w:eastAsia="Times New Roman" w:cstheme="minorHAnsi"/>
          <w:sz w:val="24"/>
          <w:szCs w:val="24"/>
          <w:lang w:eastAsia="it-IT"/>
        </w:rPr>
        <w:t xml:space="preserve">, </w:t>
      </w:r>
      <w:r w:rsidRPr="00BA2290">
        <w:rPr>
          <w:rFonts w:eastAsia="Times New Roman" w:cstheme="minorHAnsi"/>
          <w:i/>
          <w:iCs/>
          <w:sz w:val="24"/>
          <w:szCs w:val="24"/>
          <w:lang w:eastAsia="it-IT"/>
        </w:rPr>
        <w:t>rs3743860</w:t>
      </w:r>
      <w:r w:rsidRPr="00BA2290">
        <w:rPr>
          <w:rFonts w:eastAsia="Times New Roman" w:cstheme="minorHAnsi"/>
          <w:sz w:val="24"/>
          <w:szCs w:val="24"/>
          <w:lang w:eastAsia="it-IT"/>
        </w:rPr>
        <w:t xml:space="preserve">, </w:t>
      </w:r>
      <w:r w:rsidRPr="00BA2290">
        <w:rPr>
          <w:rFonts w:eastAsia="Times New Roman" w:cstheme="minorHAnsi"/>
          <w:i/>
          <w:iCs/>
          <w:sz w:val="24"/>
          <w:szCs w:val="24"/>
          <w:lang w:eastAsia="it-IT"/>
        </w:rPr>
        <w:t>rs2376883</w:t>
      </w:r>
      <w:r w:rsidRPr="00BA2290">
        <w:rPr>
          <w:rFonts w:eastAsia="Times New Roman" w:cstheme="minorHAnsi"/>
          <w:sz w:val="24"/>
          <w:szCs w:val="24"/>
          <w:lang w:eastAsia="it-IT"/>
        </w:rPr>
        <w:t xml:space="preserve">) hanno mostrato interazioni con quasi tutti i fattori ambientali/clinici considerati nei gruppi affetti da BCC e melanoma invasivo. </w:t>
      </w:r>
    </w:p>
    <w:p w:rsidR="00BA2290" w:rsidRPr="00BA2290" w:rsidRDefault="00BA2290" w:rsidP="00BA2290">
      <w:pPr>
        <w:spacing w:before="100" w:beforeAutospacing="1" w:after="100" w:afterAutospacing="1" w:line="240" w:lineRule="auto"/>
        <w:jc w:val="both"/>
        <w:outlineLvl w:val="2"/>
        <w:rPr>
          <w:rFonts w:eastAsia="Times New Roman" w:cstheme="minorHAnsi"/>
          <w:b/>
          <w:bCs/>
          <w:sz w:val="24"/>
          <w:szCs w:val="24"/>
          <w:lang w:eastAsia="it-IT"/>
        </w:rPr>
      </w:pPr>
      <w:r w:rsidRPr="00BA2290">
        <w:rPr>
          <w:rFonts w:eastAsia="Times New Roman" w:cstheme="minorHAnsi"/>
          <w:b/>
          <w:bCs/>
          <w:sz w:val="24"/>
          <w:szCs w:val="24"/>
          <w:lang w:eastAsia="it-IT"/>
        </w:rPr>
        <w:t>Conclusioni degli Autori (in risalto)</w:t>
      </w:r>
    </w:p>
    <w:p w:rsidR="00BA2290" w:rsidRPr="00BA2290" w:rsidRDefault="00BA2290" w:rsidP="00BA2290">
      <w:p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sz w:val="24"/>
          <w:szCs w:val="24"/>
          <w:lang w:eastAsia="it-IT"/>
        </w:rPr>
        <w:t>Le conclusioni fondamentali evidenziate dagli autori sono le seguenti:</w:t>
      </w:r>
    </w:p>
    <w:p w:rsidR="00BA2290" w:rsidRPr="00BA2290" w:rsidRDefault="00BA2290" w:rsidP="00BA2290">
      <w:pPr>
        <w:numPr>
          <w:ilvl w:val="0"/>
          <w:numId w:val="2"/>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b/>
          <w:bCs/>
          <w:sz w:val="24"/>
          <w:szCs w:val="24"/>
          <w:lang w:eastAsia="it-IT"/>
        </w:rPr>
        <w:lastRenderedPageBreak/>
        <w:t>Importanza dell'approccio combinato (Gene-Ambiente):</w:t>
      </w:r>
      <w:r w:rsidRPr="00BA2290">
        <w:rPr>
          <w:rFonts w:eastAsia="Times New Roman" w:cstheme="minorHAnsi"/>
          <w:sz w:val="24"/>
          <w:szCs w:val="24"/>
          <w:lang w:eastAsia="it-IT"/>
        </w:rPr>
        <w:t xml:space="preserve"> Un'analisi genetica isolata offre una visione limitata; l'integrazione dei dati genetici (geni di riparazione del DNA) con i fattori demografici e di esposizione ambientale è </w:t>
      </w:r>
      <w:r w:rsidRPr="00BA2290">
        <w:rPr>
          <w:rFonts w:eastAsia="Times New Roman" w:cstheme="minorHAnsi"/>
          <w:b/>
          <w:bCs/>
          <w:sz w:val="24"/>
          <w:szCs w:val="24"/>
          <w:lang w:eastAsia="it-IT"/>
        </w:rPr>
        <w:t>fondamentale per la stratificazione del rischio di malattia</w:t>
      </w:r>
      <w:r w:rsidRPr="00BA2290">
        <w:rPr>
          <w:rFonts w:eastAsia="Times New Roman" w:cstheme="minorHAnsi"/>
          <w:sz w:val="24"/>
          <w:szCs w:val="24"/>
          <w:lang w:eastAsia="it-IT"/>
        </w:rPr>
        <w:t xml:space="preserve"> e per formulare prognosi accurate. </w:t>
      </w:r>
    </w:p>
    <w:p w:rsidR="00BA2290" w:rsidRPr="00BA2290" w:rsidRDefault="00BA2290" w:rsidP="00BA2290">
      <w:pPr>
        <w:numPr>
          <w:ilvl w:val="0"/>
          <w:numId w:val="2"/>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b/>
          <w:bCs/>
          <w:sz w:val="24"/>
          <w:szCs w:val="24"/>
          <w:lang w:eastAsia="it-IT"/>
        </w:rPr>
        <w:t>Ruolo prognostico delle varianti di FANCA:</w:t>
      </w:r>
      <w:r w:rsidRPr="00BA2290">
        <w:rPr>
          <w:rFonts w:eastAsia="Times New Roman" w:cstheme="minorHAnsi"/>
          <w:sz w:val="24"/>
          <w:szCs w:val="24"/>
          <w:lang w:eastAsia="it-IT"/>
        </w:rPr>
        <w:t xml:space="preserve"> Gli alleli del gene FANCA possiedono un importante valore prognostico per identificare il rischio nei soggetti con una storia di </w:t>
      </w:r>
      <w:r w:rsidRPr="00BA2290">
        <w:rPr>
          <w:rFonts w:eastAsia="Times New Roman" w:cstheme="minorHAnsi"/>
          <w:b/>
          <w:bCs/>
          <w:sz w:val="24"/>
          <w:szCs w:val="24"/>
          <w:lang w:eastAsia="it-IT"/>
        </w:rPr>
        <w:t>scottature solari nell'infanzia</w:t>
      </w:r>
      <w:r w:rsidRPr="00BA2290">
        <w:rPr>
          <w:rFonts w:eastAsia="Times New Roman" w:cstheme="minorHAnsi"/>
          <w:sz w:val="24"/>
          <w:szCs w:val="24"/>
          <w:lang w:eastAsia="it-IT"/>
        </w:rPr>
        <w:t xml:space="preserve"> o d'uso di </w:t>
      </w:r>
      <w:r w:rsidRPr="00BA2290">
        <w:rPr>
          <w:rFonts w:eastAsia="Times New Roman" w:cstheme="minorHAnsi"/>
          <w:b/>
          <w:bCs/>
          <w:sz w:val="24"/>
          <w:szCs w:val="24"/>
          <w:lang w:eastAsia="it-IT"/>
        </w:rPr>
        <w:t>lampade abbronzanti</w:t>
      </w:r>
      <w:r w:rsidRPr="00BA2290">
        <w:rPr>
          <w:rFonts w:eastAsia="Times New Roman" w:cstheme="minorHAnsi"/>
          <w:sz w:val="24"/>
          <w:szCs w:val="24"/>
          <w:lang w:eastAsia="it-IT"/>
        </w:rPr>
        <w:t xml:space="preserve">. </w:t>
      </w:r>
    </w:p>
    <w:p w:rsidR="00BA2290" w:rsidRPr="00BA2290" w:rsidRDefault="00BA2290" w:rsidP="00BA2290">
      <w:pPr>
        <w:numPr>
          <w:ilvl w:val="0"/>
          <w:numId w:val="2"/>
        </w:numPr>
        <w:spacing w:before="100" w:beforeAutospacing="1" w:after="100" w:afterAutospacing="1" w:line="240" w:lineRule="auto"/>
        <w:jc w:val="both"/>
        <w:rPr>
          <w:rFonts w:eastAsia="Times New Roman" w:cstheme="minorHAnsi"/>
          <w:sz w:val="24"/>
          <w:szCs w:val="24"/>
          <w:lang w:eastAsia="it-IT"/>
        </w:rPr>
      </w:pPr>
      <w:r w:rsidRPr="00BA2290">
        <w:rPr>
          <w:rFonts w:eastAsia="Times New Roman" w:cstheme="minorHAnsi"/>
          <w:b/>
          <w:bCs/>
          <w:sz w:val="24"/>
          <w:szCs w:val="24"/>
          <w:lang w:eastAsia="it-IT"/>
        </w:rPr>
        <w:t>Contributo alla Medicina di Precisione:</w:t>
      </w:r>
      <w:r w:rsidRPr="00BA2290">
        <w:rPr>
          <w:rFonts w:eastAsia="Times New Roman" w:cstheme="minorHAnsi"/>
          <w:sz w:val="24"/>
          <w:szCs w:val="24"/>
          <w:lang w:eastAsia="it-IT"/>
        </w:rPr>
        <w:t xml:space="preserve"> L'identificazione di queste interazioni genoma-ambiente fornisce nuove informazioni chiave per la prevenzione personalizzata e la comprensione dei meccanismi alla base dei tumori </w:t>
      </w:r>
      <w:proofErr w:type="spellStart"/>
      <w:r w:rsidRPr="00BA2290">
        <w:rPr>
          <w:rFonts w:eastAsia="Times New Roman" w:cstheme="minorHAnsi"/>
          <w:sz w:val="24"/>
          <w:szCs w:val="24"/>
          <w:lang w:eastAsia="it-IT"/>
        </w:rPr>
        <w:t>cheratinocitici</w:t>
      </w:r>
      <w:proofErr w:type="spellEnd"/>
      <w:r w:rsidRPr="00BA2290">
        <w:rPr>
          <w:rFonts w:eastAsia="Times New Roman" w:cstheme="minorHAnsi"/>
          <w:sz w:val="24"/>
          <w:szCs w:val="24"/>
          <w:lang w:eastAsia="it-IT"/>
        </w:rPr>
        <w:t xml:space="preserve"> e del melanoma. </w:t>
      </w:r>
    </w:p>
    <w:p w:rsidR="00BA2290" w:rsidRPr="00BA2290" w:rsidRDefault="00BA2290" w:rsidP="00BA2290">
      <w:pPr>
        <w:numPr>
          <w:ilvl w:val="0"/>
          <w:numId w:val="2"/>
        </w:numPr>
        <w:spacing w:before="100" w:beforeAutospacing="1" w:after="100" w:afterAutospacing="1" w:line="240" w:lineRule="auto"/>
        <w:jc w:val="both"/>
        <w:rPr>
          <w:rFonts w:eastAsia="Times New Roman" w:cstheme="minorHAnsi"/>
          <w:sz w:val="24"/>
          <w:szCs w:val="24"/>
          <w:highlight w:val="yellow"/>
          <w:lang w:eastAsia="it-IT"/>
        </w:rPr>
      </w:pPr>
      <w:r w:rsidRPr="00BA2290">
        <w:rPr>
          <w:rFonts w:eastAsia="Times New Roman" w:cstheme="minorHAnsi"/>
          <w:b/>
          <w:bCs/>
          <w:sz w:val="24"/>
          <w:szCs w:val="24"/>
          <w:highlight w:val="yellow"/>
          <w:lang w:eastAsia="it-IT"/>
        </w:rPr>
        <w:t>Messaggio di Salute Pubblica:</w:t>
      </w:r>
      <w:r w:rsidRPr="00BA2290">
        <w:rPr>
          <w:rFonts w:eastAsia="Times New Roman" w:cstheme="minorHAnsi"/>
          <w:sz w:val="24"/>
          <w:szCs w:val="24"/>
          <w:highlight w:val="yellow"/>
          <w:lang w:eastAsia="it-IT"/>
        </w:rPr>
        <w:t xml:space="preserve"> Nonostante l'associazione paradossale riscontrata nei dati statistici, gli autori sottolineano la necessità di un'adeguata e frequente applicazione della protezione solare e della minimizzazione dell'esposizione diretta ai raggi UV, in particolare per i soggetti a pelle chiara. </w:t>
      </w:r>
    </w:p>
    <w:p w:rsidR="00181505" w:rsidRPr="00BA2290" w:rsidRDefault="00181505" w:rsidP="00BA2290"/>
    <w:sectPr w:rsidR="00181505" w:rsidRPr="00BA229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C141E1"/>
    <w:multiLevelType w:val="multilevel"/>
    <w:tmpl w:val="1A941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F820C3"/>
    <w:multiLevelType w:val="multilevel"/>
    <w:tmpl w:val="43F20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90"/>
    <w:rsid w:val="0007472B"/>
    <w:rsid w:val="00181505"/>
    <w:rsid w:val="00BA22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CC2F0"/>
  <w15:chartTrackingRefBased/>
  <w15:docId w15:val="{CCFDFA67-0228-467E-B77E-57B25248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5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459</Words>
  <Characters>2617</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UniPD</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Rossi</dc:creator>
  <cp:keywords/>
  <dc:description/>
  <cp:lastModifiedBy>Rossi</cp:lastModifiedBy>
  <cp:revision>3</cp:revision>
  <dcterms:created xsi:type="dcterms:W3CDTF">2026-07-30T07:50:00Z</dcterms:created>
  <dcterms:modified xsi:type="dcterms:W3CDTF">2026-07-30T08:07:00Z</dcterms:modified>
</cp:coreProperties>
</file>